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CD" w:rsidRDefault="0093065A" w:rsidP="00A22ECF">
      <w:r>
        <w:t>January 8, 2015</w:t>
      </w:r>
    </w:p>
    <w:p w:rsidR="00B24CFA" w:rsidRDefault="00B24CFA" w:rsidP="00A22ECF"/>
    <w:p w:rsidR="00B24CFA" w:rsidRPr="0093065A" w:rsidRDefault="00B24CFA" w:rsidP="00B24CFA">
      <w:pPr>
        <w:jc w:val="center"/>
        <w:rPr>
          <w:b/>
        </w:rPr>
      </w:pPr>
      <w:r w:rsidRPr="0093065A">
        <w:rPr>
          <w:b/>
        </w:rPr>
        <w:t>Notice of Government Code Section 70633(b)</w:t>
      </w:r>
    </w:p>
    <w:p w:rsidR="00B24CFA" w:rsidRPr="0093065A" w:rsidRDefault="00B24CFA" w:rsidP="00B24CFA">
      <w:pPr>
        <w:jc w:val="center"/>
        <w:rPr>
          <w:b/>
        </w:rPr>
      </w:pPr>
      <w:r w:rsidRPr="0093065A">
        <w:rPr>
          <w:b/>
        </w:rPr>
        <w:t>Authorization to Charge for Copy and Certification Fees</w:t>
      </w:r>
    </w:p>
    <w:p w:rsidR="00B24CFA" w:rsidRDefault="00B24CFA" w:rsidP="00B24CFA">
      <w:pPr>
        <w:jc w:val="center"/>
      </w:pPr>
    </w:p>
    <w:p w:rsidR="00B24CFA" w:rsidRDefault="00B24CFA" w:rsidP="00B24CFA">
      <w:pPr>
        <w:jc w:val="both"/>
      </w:pPr>
      <w:r>
        <w:t>Historically, it has been the Court’s policy to waive the costs of copy and certification fees for criminal court records when requests were from government agencies.  Recently, due to the ongoing imp</w:t>
      </w:r>
      <w:r w:rsidR="00893998">
        <w:t>acts of budget reductions, the C</w:t>
      </w:r>
      <w:r>
        <w:t>ourt has determined that it will no longer provide copies and certifications of criminal records at no charge to government agencies.   Government Code Section 70633(b) provides statutory authority for courts to charge government agencies for certifications and copies of all criminal records.</w:t>
      </w:r>
      <w:r w:rsidR="00383970">
        <w:t xml:space="preserve"> </w:t>
      </w:r>
      <w:r w:rsidR="005F443D">
        <w:t>A number of courts, like Santa Cruz</w:t>
      </w:r>
      <w:r>
        <w:t>, have implemented new policies in accordance with this Government Code section.</w:t>
      </w:r>
    </w:p>
    <w:p w:rsidR="00B24CFA" w:rsidRDefault="00B24CFA" w:rsidP="00B24CFA">
      <w:pPr>
        <w:jc w:val="both"/>
      </w:pPr>
    </w:p>
    <w:p w:rsidR="00B24CFA" w:rsidRDefault="00B24CFA" w:rsidP="00B24CFA">
      <w:pPr>
        <w:jc w:val="both"/>
      </w:pPr>
      <w:r>
        <w:t>Effective</w:t>
      </w:r>
      <w:r w:rsidR="0093065A">
        <w:t xml:space="preserve"> July</w:t>
      </w:r>
      <w:r w:rsidR="00893998">
        <w:t xml:space="preserve"> 1, 2015, please </w:t>
      </w:r>
      <w:proofErr w:type="gramStart"/>
      <w:r w:rsidR="00893998">
        <w:t>be</w:t>
      </w:r>
      <w:proofErr w:type="gramEnd"/>
      <w:r w:rsidR="00893998">
        <w:t xml:space="preserve"> </w:t>
      </w:r>
      <w:r>
        <w:t>advised that the Court will charge copy and certification fees for</w:t>
      </w:r>
      <w:r w:rsidR="00893998">
        <w:t xml:space="preserve"> criminal court records to government </w:t>
      </w:r>
      <w:r w:rsidR="00383970">
        <w:t xml:space="preserve">agencies making such requests. </w:t>
      </w:r>
      <w:r w:rsidR="00893998">
        <w:t xml:space="preserve">In addition, the Court will require each agency to </w:t>
      </w:r>
      <w:r w:rsidR="00893998" w:rsidRPr="0093065A">
        <w:rPr>
          <w:b/>
          <w:i/>
          <w:u w:val="single"/>
        </w:rPr>
        <w:t>pay in advance</w:t>
      </w:r>
      <w:r w:rsidR="00893998">
        <w:t xml:space="preserve"> for the records</w:t>
      </w:r>
      <w:r w:rsidR="004F6C40">
        <w:t>.</w:t>
      </w:r>
    </w:p>
    <w:p w:rsidR="00893998" w:rsidRDefault="00893998" w:rsidP="00B24CFA">
      <w:pPr>
        <w:jc w:val="both"/>
      </w:pPr>
    </w:p>
    <w:p w:rsidR="00893998" w:rsidRDefault="00893998" w:rsidP="00B24CFA">
      <w:pPr>
        <w:jc w:val="both"/>
        <w:rPr>
          <w:u w:val="single"/>
        </w:rPr>
      </w:pPr>
      <w:r>
        <w:rPr>
          <w:u w:val="single"/>
        </w:rPr>
        <w:t>Fees are as follows:</w:t>
      </w:r>
    </w:p>
    <w:p w:rsidR="00893998" w:rsidRDefault="00893998" w:rsidP="00B24CFA">
      <w:pPr>
        <w:jc w:val="both"/>
      </w:pPr>
      <w:r>
        <w:t>Copy Fees - $.50 per printed page, pursuant to Government Code Section 70627(a)</w:t>
      </w:r>
    </w:p>
    <w:p w:rsidR="00893998" w:rsidRDefault="00893998" w:rsidP="00B24CFA">
      <w:pPr>
        <w:jc w:val="both"/>
      </w:pPr>
      <w:r>
        <w:t>Certification Fees - $25.00 per document, pursuant to Government Code Section 70626(a</w:t>
      </w:r>
      <w:proofErr w:type="gramStart"/>
      <w:r>
        <w:t>)(</w:t>
      </w:r>
      <w:proofErr w:type="gramEnd"/>
      <w:r>
        <w:t>4)</w:t>
      </w:r>
      <w:r w:rsidR="00486F2D">
        <w:t>.</w:t>
      </w:r>
      <w:r w:rsidR="007F004B">
        <w:t xml:space="preserve"> Agencies may contact the Court to establish drawdown payment accounts if they are unable to pay with cash, check, or money order. </w:t>
      </w:r>
    </w:p>
    <w:p w:rsidR="00893998" w:rsidRDefault="00893998" w:rsidP="00B24CFA">
      <w:pPr>
        <w:jc w:val="both"/>
      </w:pPr>
    </w:p>
    <w:p w:rsidR="00893998" w:rsidRDefault="00F63E8B" w:rsidP="00B24CFA">
      <w:pPr>
        <w:jc w:val="both"/>
        <w:rPr>
          <w:u w:val="single"/>
        </w:rPr>
      </w:pPr>
      <w:r>
        <w:rPr>
          <w:u w:val="single"/>
        </w:rPr>
        <w:t>Requests</w:t>
      </w:r>
      <w:r w:rsidR="00893998">
        <w:rPr>
          <w:u w:val="single"/>
        </w:rPr>
        <w:t>:</w:t>
      </w:r>
    </w:p>
    <w:p w:rsidR="00F63E8B" w:rsidRDefault="00F63E8B" w:rsidP="00486F2D">
      <w:pPr>
        <w:jc w:val="both"/>
      </w:pPr>
      <w:r w:rsidRPr="00F63E8B">
        <w:t>Agencies</w:t>
      </w:r>
      <w:r w:rsidR="00CF3EB0">
        <w:t xml:space="preserve"> </w:t>
      </w:r>
      <w:r w:rsidR="002B2C13">
        <w:t>may</w:t>
      </w:r>
      <w:r w:rsidR="00CF3EB0">
        <w:t xml:space="preserve"> email,</w:t>
      </w:r>
      <w:r>
        <w:t xml:space="preserve"> mail</w:t>
      </w:r>
      <w:r w:rsidR="00CF3EB0">
        <w:t>, or make requests in person</w:t>
      </w:r>
      <w:r>
        <w:t xml:space="preserve"> using the court’s </w:t>
      </w:r>
      <w:r w:rsidRPr="00F63E8B">
        <w:rPr>
          <w:i/>
        </w:rPr>
        <w:t>Research Copy Request Form.</w:t>
      </w:r>
      <w:r w:rsidRPr="00F63E8B">
        <w:t xml:space="preserve"> </w:t>
      </w:r>
      <w:r w:rsidR="002B2C13">
        <w:t xml:space="preserve">The form can be found on the Court’s Website at </w:t>
      </w:r>
      <w:hyperlink r:id="rId8" w:history="1">
        <w:r w:rsidR="002B2C13" w:rsidRPr="00816C29">
          <w:rPr>
            <w:rStyle w:val="Hyperlink"/>
          </w:rPr>
          <w:t>www.santacruzcourt.org</w:t>
        </w:r>
      </w:hyperlink>
    </w:p>
    <w:p w:rsidR="00F63E8B" w:rsidRDefault="00F63E8B" w:rsidP="00B24CFA">
      <w:pPr>
        <w:jc w:val="both"/>
      </w:pPr>
    </w:p>
    <w:p w:rsidR="00893998" w:rsidRDefault="00893998" w:rsidP="00B24CFA">
      <w:pPr>
        <w:jc w:val="both"/>
      </w:pPr>
      <w:r>
        <w:t>Santa Cruz Superior Court</w:t>
      </w:r>
    </w:p>
    <w:p w:rsidR="00893998" w:rsidRDefault="00893998" w:rsidP="00B24CFA">
      <w:pPr>
        <w:jc w:val="both"/>
      </w:pPr>
      <w:r>
        <w:t>Attn: Criminal Records Division</w:t>
      </w:r>
    </w:p>
    <w:p w:rsidR="00893998" w:rsidRDefault="00893998" w:rsidP="00B24CFA">
      <w:pPr>
        <w:jc w:val="both"/>
      </w:pPr>
      <w:r>
        <w:t>701 Ocean Street, Room 120</w:t>
      </w:r>
    </w:p>
    <w:p w:rsidR="00893998" w:rsidRDefault="00893998" w:rsidP="00B24CFA">
      <w:pPr>
        <w:jc w:val="both"/>
      </w:pPr>
      <w:r>
        <w:t>Santa Cruz, CA  95060</w:t>
      </w:r>
    </w:p>
    <w:p w:rsidR="00CF3EB0" w:rsidRDefault="00CF3EB0" w:rsidP="00B24CFA">
      <w:pPr>
        <w:jc w:val="both"/>
      </w:pPr>
      <w:r>
        <w:t>Email: criminalrecords.info@santacruzcourt.org</w:t>
      </w:r>
    </w:p>
    <w:p w:rsidR="00893998" w:rsidRDefault="00893998" w:rsidP="00B24CFA">
      <w:pPr>
        <w:jc w:val="both"/>
      </w:pPr>
    </w:p>
    <w:p w:rsidR="00893998" w:rsidRPr="00893998" w:rsidRDefault="00893998" w:rsidP="00B24CFA">
      <w:pPr>
        <w:jc w:val="both"/>
      </w:pPr>
      <w:r>
        <w:t>Thank you for your attention to this information and please contact the Court at the above address if you have questions.</w:t>
      </w:r>
    </w:p>
    <w:p w:rsidR="001E405A" w:rsidRDefault="001E405A" w:rsidP="00A22ECF">
      <w:pPr>
        <w:rPr>
          <w:sz w:val="22"/>
          <w:szCs w:val="22"/>
        </w:rPr>
      </w:pPr>
    </w:p>
    <w:p w:rsidR="00B45EE6" w:rsidRDefault="00893998" w:rsidP="002908CD">
      <w:pPr>
        <w:rPr>
          <w:sz w:val="22"/>
          <w:szCs w:val="22"/>
        </w:rPr>
      </w:pPr>
      <w:r>
        <w:rPr>
          <w:sz w:val="22"/>
          <w:szCs w:val="22"/>
        </w:rPr>
        <w:t>Sincerely,</w:t>
      </w:r>
    </w:p>
    <w:p w:rsidR="002C4984" w:rsidRPr="00395891" w:rsidRDefault="002908CD" w:rsidP="002908CD">
      <w:pPr>
        <w:rPr>
          <w:sz w:val="22"/>
          <w:szCs w:val="22"/>
        </w:rPr>
      </w:pPr>
      <w:r w:rsidRPr="00395891">
        <w:rPr>
          <w:sz w:val="22"/>
          <w:szCs w:val="22"/>
        </w:rPr>
        <w:t>Alex Calvo,</w:t>
      </w:r>
    </w:p>
    <w:p w:rsidR="002C4984" w:rsidRPr="00395891" w:rsidRDefault="002C4984" w:rsidP="00395891">
      <w:pPr>
        <w:rPr>
          <w:sz w:val="22"/>
          <w:szCs w:val="22"/>
        </w:rPr>
      </w:pPr>
      <w:r w:rsidRPr="00395891">
        <w:rPr>
          <w:sz w:val="22"/>
          <w:szCs w:val="22"/>
        </w:rPr>
        <w:t>Court Executive Officer</w:t>
      </w:r>
    </w:p>
    <w:sectPr w:rsidR="002C4984" w:rsidRPr="00395891" w:rsidSect="002E2AD2">
      <w:headerReference w:type="first" r:id="rId9"/>
      <w:pgSz w:w="12240" w:h="15840"/>
      <w:pgMar w:top="900" w:right="1800" w:bottom="36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65F" w:rsidRDefault="003A365F">
      <w:r>
        <w:separator/>
      </w:r>
    </w:p>
  </w:endnote>
  <w:endnote w:type="continuationSeparator" w:id="0">
    <w:p w:rsidR="003A365F" w:rsidRDefault="003A3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oudyHandtooled B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65F" w:rsidRDefault="003A365F">
      <w:r>
        <w:separator/>
      </w:r>
    </w:p>
  </w:footnote>
  <w:footnote w:type="continuationSeparator" w:id="0">
    <w:p w:rsidR="003A365F" w:rsidRDefault="003A3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98" w:rsidRPr="00395891" w:rsidRDefault="00893998">
    <w:pPr>
      <w:pStyle w:val="Heading1"/>
      <w:rPr>
        <w:rFonts w:ascii="Book Antiqua" w:hAnsi="Book Antiqua"/>
        <w:color w:val="1F497D" w:themeColor="text2"/>
        <w:sz w:val="44"/>
        <w:szCs w:val="44"/>
      </w:rPr>
    </w:pPr>
    <w:r w:rsidRPr="00395891">
      <w:rPr>
        <w:rFonts w:ascii="Book Antiqua" w:hAnsi="Book Antiqua"/>
        <w:color w:val="1F497D" w:themeColor="text2"/>
        <w:sz w:val="44"/>
        <w:szCs w:val="44"/>
      </w:rPr>
      <w:t>Superior Court of California</w:t>
    </w:r>
  </w:p>
  <w:p w:rsidR="00893998" w:rsidRPr="00395891" w:rsidRDefault="00893998">
    <w:pPr>
      <w:widowControl w:val="0"/>
      <w:tabs>
        <w:tab w:val="left" w:pos="-504"/>
        <w:tab w:val="left" w:pos="0"/>
        <w:tab w:val="left" w:pos="1260"/>
        <w:tab w:val="left" w:pos="642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Handtooled BT" w:hAnsi="GoudyHandtooled BT"/>
        <w:color w:val="1F497D" w:themeColor="text2"/>
        <w:sz w:val="18"/>
      </w:rPr>
    </w:pPr>
    <w:r w:rsidRPr="00395891">
      <w:rPr>
        <w:rFonts w:ascii="GoudyHandtooled BT" w:hAnsi="GoudyHandtooled BT"/>
        <w:color w:val="1F497D" w:themeColor="text2"/>
        <w:sz w:val="18"/>
      </w:rPr>
      <w:t>COUNTY OF SANTA CRUZ</w:t>
    </w:r>
  </w:p>
  <w:p w:rsidR="00893998" w:rsidRPr="00395891" w:rsidRDefault="00893998">
    <w:pPr>
      <w:widowControl w:val="0"/>
      <w:tabs>
        <w:tab w:val="left" w:pos="-504"/>
        <w:tab w:val="left" w:pos="0"/>
        <w:tab w:val="left" w:pos="1260"/>
        <w:tab w:val="left" w:pos="642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 Old Style" w:hAnsi="Goudy Old Style"/>
        <w:color w:val="1F497D" w:themeColor="text2"/>
        <w:sz w:val="18"/>
      </w:rPr>
    </w:pPr>
    <w:r w:rsidRPr="00395891">
      <w:rPr>
        <w:rFonts w:ascii="Goudy Old Style" w:hAnsi="Goudy Old Style"/>
        <w:color w:val="1F497D" w:themeColor="text2"/>
        <w:sz w:val="18"/>
      </w:rPr>
      <w:t>Justice With Dignity and Respect</w:t>
    </w:r>
  </w:p>
  <w:p w:rsidR="00893998" w:rsidRPr="00395891" w:rsidRDefault="00893998">
    <w:pPr>
      <w:widowControl w:val="0"/>
      <w:tabs>
        <w:tab w:val="left" w:pos="-504"/>
        <w:tab w:val="left" w:pos="0"/>
        <w:tab w:val="left" w:pos="1260"/>
        <w:tab w:val="left" w:pos="642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oudy Old Style" w:hAnsi="Goudy Old Style"/>
        <w:color w:val="1F497D" w:themeColor="text2"/>
        <w:sz w:val="18"/>
      </w:rPr>
    </w:pPr>
    <w:r w:rsidRPr="00395891">
      <w:rPr>
        <w:noProof/>
        <w:color w:val="1F497D" w:themeColor="text2"/>
        <w:sz w:val="20"/>
      </w:rPr>
      <w:drawing>
        <wp:anchor distT="0" distB="0" distL="114300" distR="114300" simplePos="0" relativeHeight="251657728" behindDoc="0" locked="0" layoutInCell="1" allowOverlap="1">
          <wp:simplePos x="0" y="0"/>
          <wp:positionH relativeFrom="page">
            <wp:align>center</wp:align>
          </wp:positionH>
          <wp:positionV relativeFrom="paragraph">
            <wp:posOffset>86995</wp:posOffset>
          </wp:positionV>
          <wp:extent cx="1031875" cy="10318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duotone>
                      <a:schemeClr val="accent1">
                        <a:shade val="45000"/>
                        <a:satMod val="135000"/>
                      </a:schemeClr>
                      <a:prstClr val="white"/>
                    </a:duotone>
                  </a:blip>
                  <a:srcRect/>
                  <a:stretch>
                    <a:fillRect/>
                  </a:stretch>
                </pic:blipFill>
                <pic:spPr bwMode="auto">
                  <a:xfrm>
                    <a:off x="0" y="0"/>
                    <a:ext cx="1031875" cy="1031875"/>
                  </a:xfrm>
                  <a:prstGeom prst="rect">
                    <a:avLst/>
                  </a:prstGeom>
                  <a:noFill/>
                  <a:ln w="9525">
                    <a:noFill/>
                    <a:miter lim="800000"/>
                    <a:headEnd/>
                    <a:tailEnd/>
                  </a:ln>
                </pic:spPr>
              </pic:pic>
            </a:graphicData>
          </a:graphic>
        </wp:anchor>
      </w:drawing>
    </w:r>
  </w:p>
  <w:p w:rsidR="00893998" w:rsidRPr="00395891" w:rsidRDefault="00893998">
    <w:pPr>
      <w:widowControl w:val="0"/>
      <w:tabs>
        <w:tab w:val="right" w:pos="9360"/>
      </w:tabs>
      <w:rPr>
        <w:color w:val="1F497D" w:themeColor="text2"/>
        <w:sz w:val="18"/>
      </w:rPr>
    </w:pPr>
  </w:p>
  <w:p w:rsidR="00893998" w:rsidRPr="00395891" w:rsidRDefault="00893998">
    <w:pPr>
      <w:widowControl w:val="0"/>
      <w:tabs>
        <w:tab w:val="right" w:pos="9360"/>
      </w:tabs>
      <w:rPr>
        <w:rFonts w:ascii="Arial" w:hAnsi="Arial"/>
        <w:color w:val="1F497D" w:themeColor="text2"/>
        <w:sz w:val="18"/>
      </w:rPr>
    </w:pPr>
    <w:r w:rsidRPr="00395891">
      <w:rPr>
        <w:rFonts w:ascii="Arial" w:hAnsi="Arial"/>
        <w:color w:val="1F497D" w:themeColor="text2"/>
        <w:sz w:val="18"/>
      </w:rPr>
      <w:t>Alex Calvo</w:t>
    </w:r>
    <w:r w:rsidRPr="00395891">
      <w:rPr>
        <w:rFonts w:ascii="Arial" w:hAnsi="Arial"/>
        <w:color w:val="1F497D" w:themeColor="text2"/>
        <w:sz w:val="18"/>
      </w:rPr>
      <w:tab/>
      <w:t>701 Ocean Street, Room 101c</w:t>
    </w:r>
    <w:r w:rsidRPr="00395891">
      <w:rPr>
        <w:rFonts w:ascii="Arial" w:hAnsi="Arial"/>
        <w:color w:val="1F497D" w:themeColor="text2"/>
        <w:sz w:val="18"/>
      </w:rPr>
      <w:tab/>
    </w:r>
  </w:p>
  <w:p w:rsidR="00893998" w:rsidRPr="00395891" w:rsidRDefault="00893998">
    <w:pPr>
      <w:widowControl w:val="0"/>
      <w:tabs>
        <w:tab w:val="right" w:pos="9360"/>
      </w:tabs>
      <w:rPr>
        <w:rFonts w:ascii="Arial" w:hAnsi="Arial"/>
        <w:color w:val="1F497D" w:themeColor="text2"/>
        <w:sz w:val="18"/>
      </w:rPr>
    </w:pPr>
    <w:r w:rsidRPr="00395891">
      <w:rPr>
        <w:rFonts w:ascii="Arial" w:hAnsi="Arial"/>
        <w:color w:val="1F497D" w:themeColor="text2"/>
        <w:sz w:val="18"/>
      </w:rPr>
      <w:t>Court Executive Officer</w:t>
    </w:r>
    <w:r w:rsidRPr="00395891">
      <w:rPr>
        <w:rFonts w:ascii="Arial" w:hAnsi="Arial"/>
        <w:color w:val="1F497D" w:themeColor="text2"/>
        <w:sz w:val="18"/>
      </w:rPr>
      <w:tab/>
      <w:t>Santa Cruz, CA 95060</w:t>
    </w:r>
  </w:p>
  <w:p w:rsidR="00893998" w:rsidRPr="00395891" w:rsidRDefault="00893998">
    <w:pPr>
      <w:widowControl w:val="0"/>
      <w:tabs>
        <w:tab w:val="right" w:pos="9360"/>
      </w:tabs>
      <w:rPr>
        <w:rFonts w:ascii="Arial" w:hAnsi="Arial"/>
        <w:color w:val="1F497D" w:themeColor="text2"/>
        <w:sz w:val="18"/>
      </w:rPr>
    </w:pPr>
    <w:r w:rsidRPr="00395891">
      <w:rPr>
        <w:rFonts w:ascii="Arial" w:hAnsi="Arial"/>
        <w:color w:val="1F497D" w:themeColor="text2"/>
        <w:sz w:val="18"/>
      </w:rPr>
      <w:tab/>
      <w:t>Phone: (831) 420-2200</w:t>
    </w:r>
  </w:p>
  <w:p w:rsidR="00893998" w:rsidRPr="00395891" w:rsidRDefault="00893998">
    <w:pPr>
      <w:widowControl w:val="0"/>
      <w:tabs>
        <w:tab w:val="right" w:pos="9360"/>
      </w:tabs>
      <w:rPr>
        <w:rFonts w:ascii="Arial" w:hAnsi="Arial"/>
        <w:color w:val="1F497D" w:themeColor="text2"/>
        <w:sz w:val="18"/>
      </w:rPr>
    </w:pPr>
    <w:r w:rsidRPr="00395891">
      <w:rPr>
        <w:rFonts w:ascii="Arial" w:hAnsi="Arial"/>
        <w:color w:val="1F497D" w:themeColor="text2"/>
        <w:sz w:val="18"/>
      </w:rPr>
      <w:tab/>
      <w:t>Fax: (831) 420-2260</w:t>
    </w:r>
  </w:p>
  <w:p w:rsidR="00893998" w:rsidRPr="00395891" w:rsidRDefault="00893998" w:rsidP="005972E7">
    <w:pPr>
      <w:pStyle w:val="Heading2"/>
      <w:rPr>
        <w:color w:val="1F497D" w:themeColor="text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00642"/>
    <w:multiLevelType w:val="hybridMultilevel"/>
    <w:tmpl w:val="7064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4E12B2"/>
    <w:rsid w:val="000001FB"/>
    <w:rsid w:val="000145E0"/>
    <w:rsid w:val="00022FA2"/>
    <w:rsid w:val="00062783"/>
    <w:rsid w:val="000A0159"/>
    <w:rsid w:val="000B3A73"/>
    <w:rsid w:val="000B69FE"/>
    <w:rsid w:val="000D3AAD"/>
    <w:rsid w:val="000D4C3D"/>
    <w:rsid w:val="000E36E3"/>
    <w:rsid w:val="000E4EAE"/>
    <w:rsid w:val="0012220B"/>
    <w:rsid w:val="00124022"/>
    <w:rsid w:val="00132933"/>
    <w:rsid w:val="00141844"/>
    <w:rsid w:val="00190DA0"/>
    <w:rsid w:val="00193457"/>
    <w:rsid w:val="00194720"/>
    <w:rsid w:val="001C7F28"/>
    <w:rsid w:val="001E0060"/>
    <w:rsid w:val="001E35C9"/>
    <w:rsid w:val="001E405A"/>
    <w:rsid w:val="002079E3"/>
    <w:rsid w:val="00226CB9"/>
    <w:rsid w:val="00234944"/>
    <w:rsid w:val="00240A43"/>
    <w:rsid w:val="00241D6E"/>
    <w:rsid w:val="002477F0"/>
    <w:rsid w:val="00262E95"/>
    <w:rsid w:val="002908CD"/>
    <w:rsid w:val="0029277B"/>
    <w:rsid w:val="00294046"/>
    <w:rsid w:val="002964E6"/>
    <w:rsid w:val="002A7111"/>
    <w:rsid w:val="002B2C13"/>
    <w:rsid w:val="002C4984"/>
    <w:rsid w:val="002D6331"/>
    <w:rsid w:val="002E2AD2"/>
    <w:rsid w:val="00353760"/>
    <w:rsid w:val="00383970"/>
    <w:rsid w:val="00395891"/>
    <w:rsid w:val="003A3131"/>
    <w:rsid w:val="003A365F"/>
    <w:rsid w:val="00406418"/>
    <w:rsid w:val="00444C14"/>
    <w:rsid w:val="00486F2D"/>
    <w:rsid w:val="004E12B2"/>
    <w:rsid w:val="004F6C40"/>
    <w:rsid w:val="00516A2F"/>
    <w:rsid w:val="00545F14"/>
    <w:rsid w:val="00564668"/>
    <w:rsid w:val="005943C6"/>
    <w:rsid w:val="005955EB"/>
    <w:rsid w:val="005972E7"/>
    <w:rsid w:val="005B3E85"/>
    <w:rsid w:val="005B3F96"/>
    <w:rsid w:val="005E5A3D"/>
    <w:rsid w:val="005E678A"/>
    <w:rsid w:val="005F443D"/>
    <w:rsid w:val="00616583"/>
    <w:rsid w:val="006773C6"/>
    <w:rsid w:val="00696CBF"/>
    <w:rsid w:val="007C430E"/>
    <w:rsid w:val="007F004B"/>
    <w:rsid w:val="00834E0E"/>
    <w:rsid w:val="00893998"/>
    <w:rsid w:val="008A0912"/>
    <w:rsid w:val="008C39C8"/>
    <w:rsid w:val="008F2B08"/>
    <w:rsid w:val="0093065A"/>
    <w:rsid w:val="00945858"/>
    <w:rsid w:val="00951E9C"/>
    <w:rsid w:val="009D6CCE"/>
    <w:rsid w:val="00A22ECF"/>
    <w:rsid w:val="00A34990"/>
    <w:rsid w:val="00A51669"/>
    <w:rsid w:val="00AC3E2B"/>
    <w:rsid w:val="00B24CFA"/>
    <w:rsid w:val="00B45EE6"/>
    <w:rsid w:val="00B75022"/>
    <w:rsid w:val="00BD3306"/>
    <w:rsid w:val="00C219C5"/>
    <w:rsid w:val="00C57BBC"/>
    <w:rsid w:val="00CD3129"/>
    <w:rsid w:val="00CD43E2"/>
    <w:rsid w:val="00CE28DB"/>
    <w:rsid w:val="00CF090C"/>
    <w:rsid w:val="00CF3EB0"/>
    <w:rsid w:val="00D07269"/>
    <w:rsid w:val="00D251FD"/>
    <w:rsid w:val="00D30994"/>
    <w:rsid w:val="00D329EA"/>
    <w:rsid w:val="00DC4BDD"/>
    <w:rsid w:val="00DE05AB"/>
    <w:rsid w:val="00DE154F"/>
    <w:rsid w:val="00DF4264"/>
    <w:rsid w:val="00E36EBE"/>
    <w:rsid w:val="00E830DA"/>
    <w:rsid w:val="00EA2AE9"/>
    <w:rsid w:val="00F312FF"/>
    <w:rsid w:val="00F42C43"/>
    <w:rsid w:val="00F5280C"/>
    <w:rsid w:val="00F54F63"/>
    <w:rsid w:val="00F63723"/>
    <w:rsid w:val="00F63E8B"/>
    <w:rsid w:val="00F757B5"/>
    <w:rsid w:val="00F87669"/>
    <w:rsid w:val="00F90BA9"/>
    <w:rsid w:val="00FA773D"/>
    <w:rsid w:val="00FB7243"/>
    <w:rsid w:val="00FD4807"/>
    <w:rsid w:val="00FE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28"/>
    <w:rPr>
      <w:sz w:val="24"/>
      <w:szCs w:val="24"/>
    </w:rPr>
  </w:style>
  <w:style w:type="paragraph" w:styleId="Heading1">
    <w:name w:val="heading 1"/>
    <w:basedOn w:val="Normal"/>
    <w:next w:val="Normal"/>
    <w:qFormat/>
    <w:rsid w:val="001C7F28"/>
    <w:pPr>
      <w:keepNext/>
      <w:widowControl w:val="0"/>
      <w:tabs>
        <w:tab w:val="left" w:pos="-504"/>
        <w:tab w:val="left" w:pos="0"/>
        <w:tab w:val="left" w:pos="1260"/>
        <w:tab w:val="left" w:pos="642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GoudyHandtooled BT" w:hAnsi="GoudyHandtooled BT"/>
      <w:sz w:val="36"/>
      <w:szCs w:val="20"/>
    </w:rPr>
  </w:style>
  <w:style w:type="paragraph" w:styleId="Heading2">
    <w:name w:val="heading 2"/>
    <w:basedOn w:val="Normal"/>
    <w:next w:val="Normal"/>
    <w:qFormat/>
    <w:rsid w:val="001C7F28"/>
    <w:pPr>
      <w:keepNext/>
      <w:widowControl w:val="0"/>
      <w:tabs>
        <w:tab w:val="right" w:pos="9360"/>
      </w:tabs>
      <w:outlineLvl w:val="1"/>
    </w:pPr>
    <w:rPr>
      <w:rFonts w:ascii="Arial" w:hAnsi="Arial"/>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F28"/>
    <w:pPr>
      <w:tabs>
        <w:tab w:val="center" w:pos="4320"/>
        <w:tab w:val="right" w:pos="8640"/>
      </w:tabs>
    </w:pPr>
  </w:style>
  <w:style w:type="paragraph" w:styleId="Footer">
    <w:name w:val="footer"/>
    <w:basedOn w:val="Normal"/>
    <w:rsid w:val="001C7F28"/>
    <w:pPr>
      <w:tabs>
        <w:tab w:val="center" w:pos="4320"/>
        <w:tab w:val="right" w:pos="8640"/>
      </w:tabs>
    </w:pPr>
  </w:style>
  <w:style w:type="paragraph" w:styleId="BalloonText">
    <w:name w:val="Balloon Text"/>
    <w:basedOn w:val="Normal"/>
    <w:semiHidden/>
    <w:rsid w:val="00D07269"/>
    <w:rPr>
      <w:rFonts w:ascii="Tahoma" w:hAnsi="Tahoma" w:cs="Tahoma"/>
      <w:sz w:val="16"/>
      <w:szCs w:val="16"/>
    </w:rPr>
  </w:style>
  <w:style w:type="character" w:styleId="Hyperlink">
    <w:name w:val="Hyperlink"/>
    <w:basedOn w:val="DefaultParagraphFont"/>
    <w:uiPriority w:val="99"/>
    <w:unhideWhenUsed/>
    <w:rsid w:val="002B2C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8466621">
      <w:bodyDiv w:val="1"/>
      <w:marLeft w:val="0"/>
      <w:marRight w:val="0"/>
      <w:marTop w:val="0"/>
      <w:marBottom w:val="0"/>
      <w:divBdr>
        <w:top w:val="none" w:sz="0" w:space="0" w:color="auto"/>
        <w:left w:val="none" w:sz="0" w:space="0" w:color="auto"/>
        <w:bottom w:val="none" w:sz="0" w:space="0" w:color="auto"/>
        <w:right w:val="none" w:sz="0" w:space="0" w:color="auto"/>
      </w:divBdr>
    </w:div>
    <w:div w:id="9888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cruzcour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FC12A-2E6A-4E88-967E-77760B8F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2/1/2002 4:08:43 PM</vt:lpstr>
    </vt:vector>
  </TitlesOfParts>
  <Company>Superior Court of California, County of Santa Cruz</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2/1/2002 4:08:43 PM</dc:title>
  <dc:creator>SUP035</dc:creator>
  <cp:lastModifiedBy>sup338</cp:lastModifiedBy>
  <cp:revision>7</cp:revision>
  <cp:lastPrinted>2014-09-29T21:43:00Z</cp:lastPrinted>
  <dcterms:created xsi:type="dcterms:W3CDTF">2015-06-12T20:50:00Z</dcterms:created>
  <dcterms:modified xsi:type="dcterms:W3CDTF">2015-06-12T23:33:00Z</dcterms:modified>
</cp:coreProperties>
</file>